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4A </w:t>
      </w:r>
    </w:p>
    <w:p w:rsidR="00000000" w:rsidDel="00000000" w:rsidP="00000000" w:rsidRDefault="00000000" w:rsidRPr="00000000" w14:paraId="00000010">
      <w:pPr>
        <w:jc w:val="center"/>
        <w:rPr>
          <w:rFonts w:ascii="Calibri" w:cs="Calibri" w:eastAsia="Calibri" w:hAnsi="Calibri"/>
          <w:b w:val="1"/>
        </w:rPr>
      </w:pPr>
      <w:r w:rsidDel="00000000" w:rsidR="00000000" w:rsidRPr="00000000">
        <w:rPr>
          <w:rFonts w:ascii="Calibri" w:cs="Calibri" w:eastAsia="Calibri" w:hAnsi="Calibri"/>
          <w:b w:val="1"/>
          <w:rtl w:val="0"/>
        </w:rPr>
        <w:t xml:space="preserve">BILLABLE WORKS AND PROJECTS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and executed by the Supplier;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labour;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replacement Assets;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materials;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profit;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Quotation and Tenders for Billable Works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Billable Works arise as a result of any: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that are Small Works; or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arising from Planned Maintenance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Billable Works shall not proceed until an instruction is received from the Buyer in writing or via the CAFM System.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Projects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Inclusive Repair Threshold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vandalism; </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unapproved suppliers repairing Assets;</w:t>
      </w:r>
      <w:r w:rsidDel="00000000" w:rsidR="00000000" w:rsidRPr="00000000">
        <w:rPr>
          <w:rtl w:val="0"/>
        </w:rPr>
      </w:r>
    </w:p>
    <w:p w:rsidR="00000000" w:rsidDel="00000000" w:rsidP="00000000" w:rsidRDefault="00000000" w:rsidRPr="00000000" w14:paraId="0000004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 specifies a price variation;</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8">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5448300</wp:posOffset>
          </wp:positionH>
          <wp:positionV relativeFrom="paragraph">
            <wp:posOffset>-48541</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4A (Billable Works and Projects)</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numPr>
        <w:numId w:val="116"/>
      </w:numPr>
      <w:tabs>
        <w:tab w:val="left" w:pos="-9"/>
      </w:tabs>
      <w:spacing w:after="1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s>
      <w:ind w:hanging="545"/>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WMHRbRtb1H3Yb5ahXl0wa02RMw==">CgMxLjAyCGguZ2pkZ3hzMgloLjMwajB6bGwyCWguMWZvYjl0ZTIJaC4zem55c2g3OAByITE5anhzTXhWbXBlVW5PNHBBMUF3eTR6S25YYXl6V3pFRw==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